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1FC" w:rsidRDefault="00C201FC" w:rsidP="00C201FC">
      <w:pPr>
        <w:jc w:val="center"/>
      </w:pPr>
      <w:r>
        <w:rPr>
          <w:noProof/>
          <w:lang w:val="en-US"/>
        </w:rPr>
        <w:drawing>
          <wp:anchor distT="0" distB="0" distL="114300" distR="114300" simplePos="0" relativeHeight="251660288" behindDoc="0" locked="0" layoutInCell="1" allowOverlap="1" wp14:anchorId="4F4A7AD7" wp14:editId="7757746D">
            <wp:simplePos x="0" y="0"/>
            <wp:positionH relativeFrom="column">
              <wp:posOffset>1186180</wp:posOffset>
            </wp:positionH>
            <wp:positionV relativeFrom="paragraph">
              <wp:posOffset>-3810</wp:posOffset>
            </wp:positionV>
            <wp:extent cx="3133725" cy="1367155"/>
            <wp:effectExtent l="0" t="0" r="9525" b="4445"/>
            <wp:wrapNone/>
            <wp:docPr id="1" name="Picture 1" descr="Image result for y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yals"/>
                    <pic:cNvPicPr>
                      <a:picLocks noChangeAspect="1" noChangeArrowheads="1"/>
                    </pic:cNvPicPr>
                  </pic:nvPicPr>
                  <pic:blipFill rotWithShape="1">
                    <a:blip r:embed="rId4">
                      <a:extLst>
                        <a:ext uri="{28A0092B-C50C-407E-A947-70E740481C1C}">
                          <a14:useLocalDpi xmlns:a14="http://schemas.microsoft.com/office/drawing/2010/main" val="0"/>
                        </a:ext>
                      </a:extLst>
                    </a:blip>
                    <a:srcRect l="22988" r="22594"/>
                    <a:stretch/>
                  </pic:blipFill>
                  <pic:spPr bwMode="auto">
                    <a:xfrm>
                      <a:off x="0" y="0"/>
                      <a:ext cx="3133725" cy="1367155"/>
                    </a:xfrm>
                    <a:prstGeom prst="rect">
                      <a:avLst/>
                    </a:prstGeom>
                    <a:noFill/>
                    <a:ln>
                      <a:noFill/>
                    </a:ln>
                    <a:extLst>
                      <a:ext uri="{53640926-AAD7-44D8-BBD7-CCE9431645EC}">
                        <a14:shadowObscured xmlns:a14="http://schemas.microsoft.com/office/drawing/2010/main"/>
                      </a:ext>
                    </a:extLst>
                  </pic:spPr>
                </pic:pic>
              </a:graphicData>
            </a:graphic>
          </wp:anchor>
        </w:drawing>
      </w:r>
    </w:p>
    <w:p w:rsidR="00C201FC" w:rsidRDefault="00C201FC"/>
    <w:p w:rsidR="00C201FC" w:rsidRDefault="00C201FC"/>
    <w:p w:rsidR="00C201FC" w:rsidRDefault="00C201FC" w:rsidP="00C201FC">
      <w:pPr>
        <w:spacing w:after="0" w:line="240" w:lineRule="auto"/>
        <w:jc w:val="center"/>
      </w:pPr>
      <w:r>
        <w:t xml:space="preserve">24 November 2018     </w:t>
      </w:r>
    </w:p>
    <w:p w:rsidR="00C201FC" w:rsidRDefault="00C201FC" w:rsidP="00C201FC">
      <w:pPr>
        <w:spacing w:after="0" w:line="240" w:lineRule="auto"/>
        <w:jc w:val="center"/>
      </w:pPr>
      <w:r>
        <w:t>Guarnerius Centre, Belgrade</w:t>
      </w:r>
    </w:p>
    <w:p w:rsidR="00C201FC" w:rsidRDefault="00C201FC">
      <w:r>
        <w:rPr>
          <w:noProof/>
          <w:lang w:val="en-US"/>
        </w:rPr>
        <mc:AlternateContent>
          <mc:Choice Requires="wps">
            <w:drawing>
              <wp:anchor distT="45720" distB="45720" distL="114300" distR="114300" simplePos="0" relativeHeight="251659264" behindDoc="0" locked="0" layoutInCell="1" allowOverlap="1" wp14:anchorId="7A4DEAA6" wp14:editId="1A2FDADF">
                <wp:simplePos x="0" y="0"/>
                <wp:positionH relativeFrom="margin">
                  <wp:posOffset>165735</wp:posOffset>
                </wp:positionH>
                <wp:positionV relativeFrom="page">
                  <wp:posOffset>1581150</wp:posOffset>
                </wp:positionV>
                <wp:extent cx="5676900" cy="90678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906780"/>
                        </a:xfrm>
                        <a:prstGeom prst="rect">
                          <a:avLst/>
                        </a:prstGeom>
                        <a:solidFill>
                          <a:srgbClr val="FFFFFF"/>
                        </a:solidFill>
                        <a:ln w="9525">
                          <a:noFill/>
                          <a:miter lim="800000"/>
                          <a:headEnd/>
                          <a:tailEnd/>
                        </a:ln>
                      </wps:spPr>
                      <wps:txbx>
                        <w:txbxContent>
                          <w:p w:rsidR="00391E9F" w:rsidRPr="00862C1D" w:rsidRDefault="00391E9F" w:rsidP="00C201FC">
                            <w:pPr>
                              <w:spacing w:after="0" w:line="240" w:lineRule="auto"/>
                              <w:jc w:val="center"/>
                              <w:rPr>
                                <w:b/>
                                <w:color w:val="002060"/>
                                <w:sz w:val="36"/>
                                <w:szCs w:val="36"/>
                              </w:rPr>
                            </w:pPr>
                            <w:r w:rsidRPr="00862C1D">
                              <w:rPr>
                                <w:b/>
                                <w:color w:val="002060"/>
                                <w:sz w:val="36"/>
                                <w:szCs w:val="36"/>
                              </w:rPr>
                              <w:t>From the Heart of England:</w:t>
                            </w:r>
                            <w:r w:rsidR="00B84538" w:rsidRPr="00862C1D">
                              <w:rPr>
                                <w:b/>
                                <w:color w:val="002060"/>
                                <w:sz w:val="36"/>
                                <w:szCs w:val="36"/>
                              </w:rPr>
                              <w:t xml:space="preserve"> </w:t>
                            </w:r>
                            <w:r w:rsidRPr="00862C1D">
                              <w:rPr>
                                <w:b/>
                                <w:color w:val="002060"/>
                                <w:sz w:val="36"/>
                                <w:szCs w:val="36"/>
                              </w:rPr>
                              <w:t>Teaching Revisited</w:t>
                            </w:r>
                          </w:p>
                          <w:p w:rsidR="00391E9F" w:rsidRPr="00862C1D" w:rsidRDefault="00391E9F" w:rsidP="00C201FC">
                            <w:pPr>
                              <w:spacing w:after="0" w:line="240" w:lineRule="auto"/>
                              <w:jc w:val="center"/>
                              <w:rPr>
                                <w:b/>
                                <w:color w:val="002060"/>
                              </w:rPr>
                            </w:pPr>
                          </w:p>
                          <w:p w:rsidR="00391E9F" w:rsidRPr="00862C1D" w:rsidRDefault="00391E9F" w:rsidP="00C201FC">
                            <w:pPr>
                              <w:spacing w:after="0" w:line="240" w:lineRule="auto"/>
                              <w:jc w:val="center"/>
                              <w:rPr>
                                <w:b/>
                                <w:color w:val="002060"/>
                                <w:sz w:val="24"/>
                                <w:szCs w:val="24"/>
                              </w:rPr>
                            </w:pPr>
                            <w:r w:rsidRPr="00862C1D">
                              <w:rPr>
                                <w:b/>
                                <w:color w:val="002060"/>
                                <w:sz w:val="24"/>
                                <w:szCs w:val="24"/>
                              </w:rPr>
                              <w:t>24th November 2018</w:t>
                            </w:r>
                          </w:p>
                          <w:p w:rsidR="00391E9F" w:rsidRPr="00862C1D" w:rsidRDefault="002E0BE4" w:rsidP="002E0BE4">
                            <w:pPr>
                              <w:spacing w:after="0" w:line="240" w:lineRule="auto"/>
                              <w:jc w:val="center"/>
                              <w:rPr>
                                <w:color w:val="002060"/>
                                <w:sz w:val="24"/>
                                <w:szCs w:val="24"/>
                              </w:rPr>
                            </w:pPr>
                            <w:r w:rsidRPr="002E0BE4">
                              <w:rPr>
                                <w:b/>
                                <w:color w:val="002060"/>
                                <w:sz w:val="24"/>
                                <w:szCs w:val="24"/>
                              </w:rPr>
                              <w:t>"Guarnerius" - Centar Lepih Umetnosti, Džordža Vašingtona 12, Beograd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4DEAA6" id="_x0000_t202" coordsize="21600,21600" o:spt="202" path="m,l,21600r21600,l21600,xe">
                <v:stroke joinstyle="miter"/>
                <v:path gradientshapeok="t" o:connecttype="rect"/>
              </v:shapetype>
              <v:shape id="Text Box 2" o:spid="_x0000_s1026" type="#_x0000_t202" style="position:absolute;margin-left:13.05pt;margin-top:124.5pt;width:447pt;height:71.4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" stroked="f">
                <v:textbox style="mso-fit-shape-to-text:t">
                  <w:txbxContent>
                    <w:p w:rsidR="00391E9F" w:rsidRPr="00862C1D" w:rsidRDefault="00391E9F" w:rsidP="00C201FC">
                      <w:pPr>
                        <w:spacing w:after="0" w:line="240" w:lineRule="auto"/>
                        <w:jc w:val="center"/>
                        <w:rPr>
                          <w:b/>
                          <w:color w:val="002060"/>
                          <w:sz w:val="36"/>
                          <w:szCs w:val="36"/>
                        </w:rPr>
                      </w:pPr>
                      <w:r w:rsidRPr="00862C1D">
                        <w:rPr>
                          <w:b/>
                          <w:color w:val="002060"/>
                          <w:sz w:val="36"/>
                          <w:szCs w:val="36"/>
                        </w:rPr>
                        <w:t>From the Heart of England:</w:t>
                      </w:r>
                      <w:r w:rsidR="00B84538" w:rsidRPr="00862C1D">
                        <w:rPr>
                          <w:b/>
                          <w:color w:val="002060"/>
                          <w:sz w:val="36"/>
                          <w:szCs w:val="36"/>
                        </w:rPr>
                        <w:t xml:space="preserve"> </w:t>
                      </w:r>
                      <w:r w:rsidRPr="00862C1D">
                        <w:rPr>
                          <w:b/>
                          <w:color w:val="002060"/>
                          <w:sz w:val="36"/>
                          <w:szCs w:val="36"/>
                        </w:rPr>
                        <w:t>Teaching Revisited</w:t>
                      </w:r>
                    </w:p>
                    <w:p w:rsidR="00391E9F" w:rsidRPr="00862C1D" w:rsidRDefault="00391E9F" w:rsidP="00C201FC">
                      <w:pPr>
                        <w:spacing w:after="0" w:line="240" w:lineRule="auto"/>
                        <w:jc w:val="center"/>
                        <w:rPr>
                          <w:b/>
                          <w:color w:val="002060"/>
                        </w:rPr>
                      </w:pPr>
                    </w:p>
                    <w:p w:rsidR="00391E9F" w:rsidRPr="00862C1D" w:rsidRDefault="00391E9F" w:rsidP="00C201FC">
                      <w:pPr>
                        <w:spacing w:after="0" w:line="240" w:lineRule="auto"/>
                        <w:jc w:val="center"/>
                        <w:rPr>
                          <w:b/>
                          <w:color w:val="002060"/>
                          <w:sz w:val="24"/>
                          <w:szCs w:val="24"/>
                        </w:rPr>
                      </w:pPr>
                      <w:r w:rsidRPr="00862C1D">
                        <w:rPr>
                          <w:b/>
                          <w:color w:val="002060"/>
                          <w:sz w:val="24"/>
                          <w:szCs w:val="24"/>
                        </w:rPr>
                        <w:t>24th November 2018</w:t>
                      </w:r>
                    </w:p>
                    <w:p w:rsidR="00391E9F" w:rsidRPr="00862C1D" w:rsidRDefault="002E0BE4" w:rsidP="002E0BE4">
                      <w:pPr>
                        <w:spacing w:after="0" w:line="240" w:lineRule="auto"/>
                        <w:jc w:val="center"/>
                        <w:rPr>
                          <w:color w:val="002060"/>
                          <w:sz w:val="24"/>
                          <w:szCs w:val="24"/>
                        </w:rPr>
                      </w:pPr>
                      <w:r w:rsidRPr="002E0BE4">
                        <w:rPr>
                          <w:b/>
                          <w:color w:val="002060"/>
                          <w:sz w:val="24"/>
                          <w:szCs w:val="24"/>
                        </w:rPr>
                        <w:t>"Guarnerius" - Centar Lepih Umetnosti, Džordža Vašingtona 12, Beograd</w:t>
                      </w:r>
                    </w:p>
                  </w:txbxContent>
                </v:textbox>
                <w10:wrap anchorx="margin" anchory="page"/>
              </v:shape>
            </w:pict>
          </mc:Fallback>
        </mc:AlternateContent>
      </w:r>
    </w:p>
    <w:p w:rsidR="00C201FC" w:rsidRDefault="00C201FC"/>
    <w:p w:rsidR="00C201FC" w:rsidRDefault="00C201FC"/>
    <w:p w:rsidR="00C201FC" w:rsidRPr="00862C1D" w:rsidRDefault="00C201FC">
      <w:pPr>
        <w:rPr>
          <w:color w:val="002060"/>
        </w:rPr>
      </w:pPr>
    </w:p>
    <w:p w:rsidR="00F409B5" w:rsidRPr="00862C1D" w:rsidRDefault="00862C1D" w:rsidP="00FC6CB9">
      <w:pPr>
        <w:jc w:val="center"/>
        <w:rPr>
          <w:rFonts w:asciiTheme="majorHAnsi" w:hAnsiTheme="majorHAnsi" w:cstheme="majorHAnsi"/>
          <w:b/>
          <w:color w:val="002060"/>
          <w:sz w:val="32"/>
          <w:szCs w:val="32"/>
        </w:rPr>
      </w:pPr>
      <w:r w:rsidRPr="00862C1D">
        <w:rPr>
          <w:noProof/>
          <w:color w:val="002060"/>
          <w:lang w:val="en-US"/>
        </w:rPr>
        <w:drawing>
          <wp:anchor distT="0" distB="0" distL="114300" distR="114300" simplePos="0" relativeHeight="251662336" behindDoc="0" locked="0" layoutInCell="1" allowOverlap="1" wp14:anchorId="4CA23C83" wp14:editId="06F84602">
            <wp:simplePos x="0" y="0"/>
            <wp:positionH relativeFrom="margin">
              <wp:align>right</wp:align>
            </wp:positionH>
            <wp:positionV relativeFrom="paragraph">
              <wp:posOffset>7096125</wp:posOffset>
            </wp:positionV>
            <wp:extent cx="1955374" cy="558536"/>
            <wp:effectExtent l="0" t="0" r="6985" b="0"/>
            <wp:wrapNone/>
            <wp:docPr id="1026" name="Picture 2" descr="https://eacea.ec.europa.eu/sites/eacea-site/files/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eacea.ec.europa.eu/sites/eacea-site/files/eu_flag_co_funded_pos_rgb_righ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5374" cy="558536"/>
                    </a:xfrm>
                    <a:prstGeom prst="rect">
                      <a:avLst/>
                    </a:prstGeom>
                    <a:noFill/>
                    <a:extLst/>
                  </pic:spPr>
                </pic:pic>
              </a:graphicData>
            </a:graphic>
            <wp14:sizeRelH relativeFrom="margin">
              <wp14:pctWidth>0</wp14:pctWidth>
            </wp14:sizeRelH>
            <wp14:sizeRelV relativeFrom="margin">
              <wp14:pctHeight>0</wp14:pctHeight>
            </wp14:sizeRelV>
          </wp:anchor>
        </w:drawing>
      </w:r>
      <w:r w:rsidR="00F409B5" w:rsidRPr="00862C1D">
        <w:rPr>
          <w:rFonts w:asciiTheme="majorHAnsi" w:hAnsiTheme="majorHAnsi" w:cstheme="majorHAnsi"/>
          <w:b/>
          <w:color w:val="002060"/>
          <w:sz w:val="32"/>
          <w:szCs w:val="32"/>
        </w:rPr>
        <w:t>CONFERENCE PROGRAMME</w:t>
      </w:r>
    </w:p>
    <w:tbl>
      <w:tblPr>
        <w:tblStyle w:val="TableGrid"/>
        <w:tblW w:w="963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7938"/>
      </w:tblGrid>
      <w:tr w:rsidR="00862C1D" w:rsidRPr="00862C1D" w:rsidTr="008D7563">
        <w:tc>
          <w:tcPr>
            <w:tcW w:w="1697" w:type="dxa"/>
          </w:tcPr>
          <w:p w:rsidR="00FC6CB9" w:rsidRPr="00862C1D" w:rsidRDefault="00FC6CB9" w:rsidP="00862C1D">
            <w:pPr>
              <w:rPr>
                <w:rFonts w:asciiTheme="majorHAnsi" w:hAnsiTheme="majorHAnsi" w:cstheme="majorHAnsi"/>
                <w:color w:val="002060"/>
              </w:rPr>
            </w:pPr>
            <w:r w:rsidRPr="00862C1D">
              <w:rPr>
                <w:rFonts w:asciiTheme="majorHAnsi" w:hAnsiTheme="majorHAnsi" w:cstheme="majorHAnsi"/>
                <w:color w:val="002060"/>
              </w:rPr>
              <w:t>9.00</w:t>
            </w:r>
            <w:r w:rsidR="00862C1D" w:rsidRPr="00862C1D">
              <w:rPr>
                <w:rFonts w:asciiTheme="majorHAnsi" w:hAnsiTheme="majorHAnsi" w:cstheme="majorHAnsi"/>
                <w:color w:val="002060"/>
              </w:rPr>
              <w:t xml:space="preserve"> </w:t>
            </w:r>
            <w:r w:rsidRPr="00862C1D">
              <w:rPr>
                <w:rFonts w:asciiTheme="majorHAnsi" w:hAnsiTheme="majorHAnsi" w:cstheme="majorHAnsi"/>
                <w:color w:val="002060"/>
              </w:rPr>
              <w:t>-</w:t>
            </w:r>
            <w:r w:rsidR="00862C1D" w:rsidRPr="00862C1D">
              <w:rPr>
                <w:rFonts w:asciiTheme="majorHAnsi" w:hAnsiTheme="majorHAnsi" w:cstheme="majorHAnsi"/>
                <w:color w:val="002060"/>
              </w:rPr>
              <w:t xml:space="preserve"> </w:t>
            </w:r>
            <w:r w:rsidRPr="00862C1D">
              <w:rPr>
                <w:rFonts w:asciiTheme="majorHAnsi" w:hAnsiTheme="majorHAnsi" w:cstheme="majorHAnsi"/>
                <w:color w:val="002060"/>
              </w:rPr>
              <w:t>10.00</w:t>
            </w:r>
          </w:p>
        </w:tc>
        <w:tc>
          <w:tcPr>
            <w:tcW w:w="7938" w:type="dxa"/>
          </w:tcPr>
          <w:p w:rsidR="00FC6CB9" w:rsidRPr="00862C1D" w:rsidRDefault="00FC6CB9">
            <w:pPr>
              <w:rPr>
                <w:rFonts w:asciiTheme="majorHAnsi" w:hAnsiTheme="majorHAnsi" w:cstheme="majorHAnsi"/>
                <w:b/>
                <w:color w:val="002060"/>
                <w:sz w:val="28"/>
                <w:szCs w:val="28"/>
              </w:rPr>
            </w:pPr>
            <w:r w:rsidRPr="00862C1D">
              <w:rPr>
                <w:rFonts w:asciiTheme="majorHAnsi" w:hAnsiTheme="majorHAnsi" w:cstheme="majorHAnsi"/>
                <w:b/>
                <w:color w:val="002060"/>
                <w:sz w:val="28"/>
                <w:szCs w:val="28"/>
              </w:rPr>
              <w:t>Registration</w:t>
            </w:r>
          </w:p>
          <w:p w:rsidR="00FC6CB9" w:rsidRPr="00862C1D" w:rsidRDefault="00FC6CB9">
            <w:pPr>
              <w:rPr>
                <w:rFonts w:asciiTheme="majorHAnsi" w:hAnsiTheme="majorHAnsi" w:cstheme="majorHAnsi"/>
                <w:color w:val="002060"/>
                <w:sz w:val="20"/>
                <w:szCs w:val="20"/>
              </w:rPr>
            </w:pPr>
          </w:p>
        </w:tc>
      </w:tr>
      <w:tr w:rsidR="00862C1D" w:rsidRPr="00862C1D" w:rsidTr="008D7563">
        <w:tc>
          <w:tcPr>
            <w:tcW w:w="1697" w:type="dxa"/>
          </w:tcPr>
          <w:p w:rsidR="00FC6CB9" w:rsidRPr="00862C1D" w:rsidRDefault="00FC6CB9" w:rsidP="00862C1D">
            <w:pPr>
              <w:rPr>
                <w:rFonts w:asciiTheme="majorHAnsi" w:hAnsiTheme="majorHAnsi" w:cstheme="majorHAnsi"/>
                <w:color w:val="002060"/>
              </w:rPr>
            </w:pPr>
            <w:r w:rsidRPr="00862C1D">
              <w:rPr>
                <w:rFonts w:asciiTheme="majorHAnsi" w:hAnsiTheme="majorHAnsi" w:cstheme="majorHAnsi"/>
                <w:color w:val="002060"/>
              </w:rPr>
              <w:t>10.00 – 10.15</w:t>
            </w:r>
          </w:p>
        </w:tc>
        <w:tc>
          <w:tcPr>
            <w:tcW w:w="7938" w:type="dxa"/>
          </w:tcPr>
          <w:p w:rsidR="00FC6CB9" w:rsidRPr="00862C1D" w:rsidRDefault="00FC6CB9" w:rsidP="005C10FF">
            <w:pPr>
              <w:rPr>
                <w:rFonts w:asciiTheme="majorHAnsi" w:hAnsiTheme="majorHAnsi" w:cstheme="majorHAnsi"/>
                <w:b/>
                <w:color w:val="002060"/>
                <w:sz w:val="28"/>
                <w:szCs w:val="28"/>
              </w:rPr>
            </w:pPr>
            <w:r w:rsidRPr="00862C1D">
              <w:rPr>
                <w:rFonts w:asciiTheme="majorHAnsi" w:hAnsiTheme="majorHAnsi" w:cstheme="majorHAnsi"/>
                <w:b/>
                <w:color w:val="002060"/>
                <w:sz w:val="28"/>
                <w:szCs w:val="28"/>
              </w:rPr>
              <w:t xml:space="preserve">Opening </w:t>
            </w:r>
          </w:p>
          <w:p w:rsidR="00FC6CB9" w:rsidRPr="00862C1D" w:rsidRDefault="00FC6CB9">
            <w:pPr>
              <w:rPr>
                <w:rFonts w:asciiTheme="majorHAnsi" w:hAnsiTheme="majorHAnsi" w:cstheme="majorHAnsi"/>
                <w:color w:val="002060"/>
              </w:rPr>
            </w:pPr>
            <w:r w:rsidRPr="00862C1D">
              <w:rPr>
                <w:rFonts w:asciiTheme="majorHAnsi" w:hAnsiTheme="majorHAnsi" w:cstheme="majorHAnsi"/>
                <w:b/>
                <w:color w:val="002060"/>
              </w:rPr>
              <w:t>Marija Pejatović, Chair of YALS</w:t>
            </w:r>
          </w:p>
        </w:tc>
      </w:tr>
      <w:tr w:rsidR="00862C1D" w:rsidRPr="00862C1D" w:rsidTr="008D7563">
        <w:tc>
          <w:tcPr>
            <w:tcW w:w="1697" w:type="dxa"/>
          </w:tcPr>
          <w:p w:rsidR="00B84538" w:rsidRPr="00862C1D" w:rsidRDefault="00B84538" w:rsidP="00862C1D">
            <w:pPr>
              <w:rPr>
                <w:rFonts w:asciiTheme="majorHAnsi" w:hAnsiTheme="majorHAnsi" w:cstheme="majorHAnsi"/>
                <w:color w:val="002060"/>
              </w:rPr>
            </w:pPr>
          </w:p>
          <w:p w:rsidR="00B84538" w:rsidRPr="00862C1D" w:rsidRDefault="00B84538" w:rsidP="00862C1D">
            <w:pPr>
              <w:rPr>
                <w:rFonts w:asciiTheme="majorHAnsi" w:hAnsiTheme="majorHAnsi" w:cstheme="majorHAnsi"/>
                <w:color w:val="002060"/>
              </w:rPr>
            </w:pPr>
            <w:r w:rsidRPr="00862C1D">
              <w:rPr>
                <w:rFonts w:asciiTheme="majorHAnsi" w:hAnsiTheme="majorHAnsi" w:cstheme="majorHAnsi"/>
                <w:color w:val="002060"/>
              </w:rPr>
              <w:t>10.15 – 10.45</w:t>
            </w:r>
          </w:p>
          <w:p w:rsidR="00434890" w:rsidRPr="00862C1D" w:rsidRDefault="00434890" w:rsidP="00862C1D">
            <w:pPr>
              <w:rPr>
                <w:rFonts w:asciiTheme="majorHAnsi" w:hAnsiTheme="majorHAnsi" w:cstheme="majorHAnsi"/>
                <w:color w:val="002060"/>
              </w:rPr>
            </w:pPr>
          </w:p>
        </w:tc>
        <w:tc>
          <w:tcPr>
            <w:tcW w:w="7938" w:type="dxa"/>
          </w:tcPr>
          <w:p w:rsidR="00B84538" w:rsidRPr="00862C1D" w:rsidRDefault="00B84538" w:rsidP="00862C1D">
            <w:pPr>
              <w:widowControl w:val="0"/>
              <w:autoSpaceDE w:val="0"/>
              <w:autoSpaceDN w:val="0"/>
              <w:adjustRightInd w:val="0"/>
              <w:jc w:val="both"/>
              <w:rPr>
                <w:rFonts w:asciiTheme="majorHAnsi" w:hAnsiTheme="majorHAnsi" w:cstheme="majorHAnsi"/>
                <w:b/>
                <w:color w:val="002060"/>
                <w:sz w:val="20"/>
                <w:szCs w:val="20"/>
              </w:rPr>
            </w:pPr>
          </w:p>
          <w:p w:rsidR="00434890" w:rsidRPr="00862C1D" w:rsidRDefault="00B84538" w:rsidP="00862C1D">
            <w:pPr>
              <w:widowControl w:val="0"/>
              <w:autoSpaceDE w:val="0"/>
              <w:autoSpaceDN w:val="0"/>
              <w:adjustRightInd w:val="0"/>
              <w:jc w:val="both"/>
              <w:rPr>
                <w:rFonts w:asciiTheme="majorHAnsi" w:hAnsiTheme="majorHAnsi" w:cstheme="majorHAnsi"/>
                <w:b/>
                <w:color w:val="002060"/>
                <w:sz w:val="28"/>
                <w:szCs w:val="28"/>
              </w:rPr>
            </w:pPr>
            <w:r w:rsidRPr="00862C1D">
              <w:rPr>
                <w:rFonts w:asciiTheme="majorHAnsi" w:hAnsiTheme="majorHAnsi" w:cstheme="majorHAnsi"/>
                <w:b/>
                <w:color w:val="002060"/>
                <w:sz w:val="28"/>
                <w:szCs w:val="28"/>
              </w:rPr>
              <w:t>Developing teachers’ competences in language schools: the Blackbird Erasmus+ Experi</w:t>
            </w:r>
            <w:r w:rsidR="00434890" w:rsidRPr="00862C1D">
              <w:rPr>
                <w:rFonts w:asciiTheme="majorHAnsi" w:hAnsiTheme="majorHAnsi" w:cstheme="majorHAnsi"/>
                <w:b/>
                <w:color w:val="002060"/>
                <w:sz w:val="28"/>
                <w:szCs w:val="28"/>
              </w:rPr>
              <w:t>e</w:t>
            </w:r>
            <w:r w:rsidRPr="00862C1D">
              <w:rPr>
                <w:rFonts w:asciiTheme="majorHAnsi" w:hAnsiTheme="majorHAnsi" w:cstheme="majorHAnsi"/>
                <w:b/>
                <w:color w:val="002060"/>
                <w:sz w:val="28"/>
                <w:szCs w:val="28"/>
              </w:rPr>
              <w:t>n</w:t>
            </w:r>
            <w:r w:rsidR="00434890" w:rsidRPr="00862C1D">
              <w:rPr>
                <w:rFonts w:asciiTheme="majorHAnsi" w:hAnsiTheme="majorHAnsi" w:cstheme="majorHAnsi"/>
                <w:b/>
                <w:color w:val="002060"/>
                <w:sz w:val="28"/>
                <w:szCs w:val="28"/>
              </w:rPr>
              <w:t xml:space="preserve">ce </w:t>
            </w:r>
          </w:p>
          <w:p w:rsidR="00B84538" w:rsidRDefault="00B84538" w:rsidP="00862C1D">
            <w:pPr>
              <w:widowControl w:val="0"/>
              <w:autoSpaceDE w:val="0"/>
              <w:autoSpaceDN w:val="0"/>
              <w:adjustRightInd w:val="0"/>
              <w:jc w:val="both"/>
              <w:rPr>
                <w:rFonts w:asciiTheme="majorHAnsi" w:hAnsiTheme="majorHAnsi" w:cstheme="majorHAnsi"/>
                <w:b/>
                <w:color w:val="002060"/>
              </w:rPr>
            </w:pPr>
            <w:r w:rsidRPr="00862C1D">
              <w:rPr>
                <w:rFonts w:asciiTheme="majorHAnsi" w:hAnsiTheme="majorHAnsi" w:cstheme="majorHAnsi"/>
                <w:b/>
                <w:color w:val="002060"/>
              </w:rPr>
              <w:t>Ljubomir Vasojević, Course Director of Blackbird Language School</w:t>
            </w:r>
          </w:p>
          <w:p w:rsidR="00862C1D" w:rsidRPr="00862C1D" w:rsidRDefault="00862C1D" w:rsidP="00862C1D">
            <w:pPr>
              <w:widowControl w:val="0"/>
              <w:autoSpaceDE w:val="0"/>
              <w:autoSpaceDN w:val="0"/>
              <w:adjustRightInd w:val="0"/>
              <w:jc w:val="both"/>
              <w:rPr>
                <w:rFonts w:asciiTheme="majorHAnsi" w:hAnsiTheme="majorHAnsi" w:cstheme="majorHAnsi"/>
                <w:b/>
                <w:color w:val="002060"/>
                <w:sz w:val="20"/>
                <w:szCs w:val="20"/>
              </w:rPr>
            </w:pPr>
          </w:p>
        </w:tc>
      </w:tr>
      <w:tr w:rsidR="00862C1D" w:rsidRPr="00862C1D" w:rsidTr="008D7563">
        <w:tc>
          <w:tcPr>
            <w:tcW w:w="1697" w:type="dxa"/>
          </w:tcPr>
          <w:p w:rsidR="00C201FC" w:rsidRPr="00862C1D" w:rsidRDefault="00C201FC" w:rsidP="00862C1D">
            <w:pPr>
              <w:rPr>
                <w:rFonts w:asciiTheme="majorHAnsi" w:hAnsiTheme="majorHAnsi" w:cstheme="majorHAnsi"/>
                <w:color w:val="002060"/>
              </w:rPr>
            </w:pPr>
            <w:r w:rsidRPr="00862C1D">
              <w:rPr>
                <w:rFonts w:asciiTheme="majorHAnsi" w:hAnsiTheme="majorHAnsi" w:cstheme="majorHAnsi"/>
                <w:color w:val="002060"/>
              </w:rPr>
              <w:t>1</w:t>
            </w:r>
            <w:r w:rsidR="00B84538" w:rsidRPr="00862C1D">
              <w:rPr>
                <w:rFonts w:asciiTheme="majorHAnsi" w:hAnsiTheme="majorHAnsi" w:cstheme="majorHAnsi"/>
                <w:color w:val="002060"/>
              </w:rPr>
              <w:t>0.4</w:t>
            </w:r>
            <w:r w:rsidR="00434890" w:rsidRPr="00862C1D">
              <w:rPr>
                <w:rFonts w:asciiTheme="majorHAnsi" w:hAnsiTheme="majorHAnsi" w:cstheme="majorHAnsi"/>
                <w:color w:val="002060"/>
              </w:rPr>
              <w:t>5</w:t>
            </w:r>
            <w:r w:rsidRPr="00862C1D">
              <w:rPr>
                <w:rFonts w:asciiTheme="majorHAnsi" w:hAnsiTheme="majorHAnsi" w:cstheme="majorHAnsi"/>
                <w:color w:val="002060"/>
              </w:rPr>
              <w:t xml:space="preserve"> – 1</w:t>
            </w:r>
            <w:r w:rsidR="00B84538" w:rsidRPr="00862C1D">
              <w:rPr>
                <w:rFonts w:asciiTheme="majorHAnsi" w:hAnsiTheme="majorHAnsi" w:cstheme="majorHAnsi"/>
                <w:color w:val="002060"/>
              </w:rPr>
              <w:t>1.4</w:t>
            </w:r>
            <w:r w:rsidR="00391E9F" w:rsidRPr="00862C1D">
              <w:rPr>
                <w:rFonts w:asciiTheme="majorHAnsi" w:hAnsiTheme="majorHAnsi" w:cstheme="majorHAnsi"/>
                <w:color w:val="002060"/>
              </w:rPr>
              <w:t>5</w:t>
            </w:r>
          </w:p>
          <w:p w:rsidR="00434890" w:rsidRPr="00862C1D" w:rsidRDefault="00434890" w:rsidP="00862C1D">
            <w:pPr>
              <w:rPr>
                <w:rFonts w:asciiTheme="majorHAnsi" w:hAnsiTheme="majorHAnsi" w:cstheme="majorHAnsi"/>
                <w:color w:val="002060"/>
              </w:rPr>
            </w:pPr>
          </w:p>
        </w:tc>
        <w:tc>
          <w:tcPr>
            <w:tcW w:w="7938" w:type="dxa"/>
          </w:tcPr>
          <w:p w:rsidR="00C201FC" w:rsidRPr="00862C1D" w:rsidRDefault="00C201FC" w:rsidP="00862C1D">
            <w:pPr>
              <w:widowControl w:val="0"/>
              <w:autoSpaceDE w:val="0"/>
              <w:autoSpaceDN w:val="0"/>
              <w:adjustRightInd w:val="0"/>
              <w:jc w:val="both"/>
              <w:rPr>
                <w:rFonts w:asciiTheme="majorHAnsi" w:hAnsiTheme="majorHAnsi" w:cstheme="majorHAnsi"/>
                <w:b/>
                <w:color w:val="002060"/>
                <w:sz w:val="28"/>
                <w:szCs w:val="28"/>
              </w:rPr>
            </w:pPr>
            <w:r w:rsidRPr="00862C1D">
              <w:rPr>
                <w:rFonts w:asciiTheme="majorHAnsi" w:hAnsiTheme="majorHAnsi" w:cstheme="majorHAnsi"/>
                <w:b/>
                <w:color w:val="002060"/>
                <w:sz w:val="28"/>
                <w:szCs w:val="28"/>
              </w:rPr>
              <w:t>How to get Erasmus+ funding for teacher professional development</w:t>
            </w:r>
          </w:p>
          <w:p w:rsidR="00C201FC" w:rsidRPr="00862C1D" w:rsidRDefault="00C201FC" w:rsidP="00862C1D">
            <w:pPr>
              <w:widowControl w:val="0"/>
              <w:autoSpaceDE w:val="0"/>
              <w:autoSpaceDN w:val="0"/>
              <w:adjustRightInd w:val="0"/>
              <w:jc w:val="both"/>
              <w:rPr>
                <w:rFonts w:asciiTheme="majorHAnsi" w:hAnsiTheme="majorHAnsi" w:cstheme="majorHAnsi"/>
                <w:b/>
                <w:color w:val="002060"/>
                <w:sz w:val="28"/>
                <w:szCs w:val="28"/>
              </w:rPr>
            </w:pPr>
            <w:r w:rsidRPr="00862C1D">
              <w:rPr>
                <w:rFonts w:asciiTheme="majorHAnsi" w:hAnsiTheme="majorHAnsi" w:cstheme="majorHAnsi"/>
                <w:b/>
                <w:color w:val="002060"/>
              </w:rPr>
              <w:t>Mike Hogan,  director, trainer and coach at York Associates</w:t>
            </w:r>
          </w:p>
          <w:p w:rsidR="00C201FC" w:rsidRPr="00862C1D" w:rsidRDefault="00C201FC" w:rsidP="00862C1D">
            <w:pPr>
              <w:jc w:val="both"/>
              <w:rPr>
                <w:rFonts w:asciiTheme="majorHAnsi" w:hAnsiTheme="majorHAnsi" w:cstheme="majorHAnsi"/>
                <w:color w:val="002060"/>
                <w:sz w:val="20"/>
                <w:szCs w:val="20"/>
              </w:rPr>
            </w:pPr>
            <w:r w:rsidRPr="00862C1D">
              <w:rPr>
                <w:rFonts w:asciiTheme="majorHAnsi" w:hAnsiTheme="majorHAnsi" w:cstheme="majorHAnsi"/>
                <w:color w:val="002060"/>
                <w:sz w:val="20"/>
                <w:szCs w:val="20"/>
              </w:rPr>
              <w:t>Participating in the programme can help you develop both personally and professionally. This talk will tell you about the scheme, how to apply for it, providing concrete course examples, e.g. SEN, Teaching with Technology, Methodology development, etc.</w:t>
            </w:r>
          </w:p>
          <w:p w:rsidR="00C201FC" w:rsidRPr="00862C1D" w:rsidRDefault="00C201FC" w:rsidP="00862C1D">
            <w:pPr>
              <w:jc w:val="both"/>
              <w:rPr>
                <w:rFonts w:asciiTheme="majorHAnsi" w:hAnsiTheme="majorHAnsi" w:cstheme="majorHAnsi"/>
                <w:b/>
                <w:color w:val="002060"/>
                <w:sz w:val="20"/>
                <w:szCs w:val="20"/>
              </w:rPr>
            </w:pPr>
          </w:p>
        </w:tc>
      </w:tr>
      <w:tr w:rsidR="00862C1D" w:rsidRPr="00862C1D" w:rsidTr="008D7563">
        <w:tc>
          <w:tcPr>
            <w:tcW w:w="1697" w:type="dxa"/>
          </w:tcPr>
          <w:p w:rsidR="00434890" w:rsidRPr="00862C1D" w:rsidRDefault="00FC6CB9" w:rsidP="00862C1D">
            <w:pPr>
              <w:rPr>
                <w:rFonts w:asciiTheme="majorHAnsi" w:hAnsiTheme="majorHAnsi" w:cstheme="majorHAnsi"/>
                <w:color w:val="002060"/>
              </w:rPr>
            </w:pPr>
            <w:r w:rsidRPr="00862C1D">
              <w:rPr>
                <w:rFonts w:asciiTheme="majorHAnsi" w:hAnsiTheme="majorHAnsi" w:cstheme="majorHAnsi"/>
                <w:color w:val="002060"/>
              </w:rPr>
              <w:t>1</w:t>
            </w:r>
            <w:r w:rsidR="00B84538" w:rsidRPr="00862C1D">
              <w:rPr>
                <w:rFonts w:asciiTheme="majorHAnsi" w:hAnsiTheme="majorHAnsi" w:cstheme="majorHAnsi"/>
                <w:color w:val="002060"/>
              </w:rPr>
              <w:t>1.4</w:t>
            </w:r>
            <w:r w:rsidR="00391E9F" w:rsidRPr="00862C1D">
              <w:rPr>
                <w:rFonts w:asciiTheme="majorHAnsi" w:hAnsiTheme="majorHAnsi" w:cstheme="majorHAnsi"/>
                <w:color w:val="002060"/>
              </w:rPr>
              <w:t>5</w:t>
            </w:r>
            <w:r w:rsidR="00434890" w:rsidRPr="00862C1D">
              <w:rPr>
                <w:rFonts w:asciiTheme="majorHAnsi" w:hAnsiTheme="majorHAnsi" w:cstheme="majorHAnsi"/>
                <w:color w:val="002060"/>
              </w:rPr>
              <w:t xml:space="preserve"> – 1</w:t>
            </w:r>
            <w:r w:rsidR="00391E9F" w:rsidRPr="00862C1D">
              <w:rPr>
                <w:rFonts w:asciiTheme="majorHAnsi" w:hAnsiTheme="majorHAnsi" w:cstheme="majorHAnsi"/>
                <w:color w:val="002060"/>
              </w:rPr>
              <w:t>1.45</w:t>
            </w:r>
            <w:r w:rsidRPr="00862C1D">
              <w:rPr>
                <w:rFonts w:asciiTheme="majorHAnsi" w:hAnsiTheme="majorHAnsi" w:cstheme="majorHAnsi"/>
                <w:color w:val="002060"/>
              </w:rPr>
              <w:t xml:space="preserve"> </w:t>
            </w:r>
          </w:p>
          <w:p w:rsidR="00434890" w:rsidRPr="00862C1D" w:rsidRDefault="00434890" w:rsidP="00862C1D">
            <w:pPr>
              <w:rPr>
                <w:rFonts w:asciiTheme="majorHAnsi" w:hAnsiTheme="majorHAnsi" w:cstheme="majorHAnsi"/>
                <w:color w:val="002060"/>
              </w:rPr>
            </w:pPr>
          </w:p>
        </w:tc>
        <w:tc>
          <w:tcPr>
            <w:tcW w:w="7938" w:type="dxa"/>
          </w:tcPr>
          <w:p w:rsidR="00434890" w:rsidRPr="00862C1D" w:rsidRDefault="00434890" w:rsidP="00862C1D">
            <w:pPr>
              <w:jc w:val="both"/>
              <w:rPr>
                <w:rFonts w:asciiTheme="majorHAnsi" w:hAnsiTheme="majorHAnsi" w:cstheme="majorHAnsi"/>
                <w:color w:val="002060"/>
                <w:sz w:val="28"/>
                <w:szCs w:val="28"/>
              </w:rPr>
            </w:pPr>
            <w:r w:rsidRPr="00862C1D">
              <w:rPr>
                <w:rFonts w:asciiTheme="majorHAnsi" w:hAnsiTheme="majorHAnsi" w:cstheme="majorHAnsi"/>
                <w:color w:val="002060"/>
                <w:sz w:val="28"/>
                <w:szCs w:val="28"/>
              </w:rPr>
              <w:t>Coffee break</w:t>
            </w:r>
          </w:p>
          <w:p w:rsidR="00FC6CB9" w:rsidRPr="00862C1D" w:rsidRDefault="00FC6CB9" w:rsidP="00862C1D">
            <w:pPr>
              <w:jc w:val="both"/>
              <w:rPr>
                <w:rFonts w:asciiTheme="majorHAnsi" w:hAnsiTheme="majorHAnsi" w:cstheme="majorHAnsi"/>
                <w:color w:val="002060"/>
                <w:sz w:val="20"/>
                <w:szCs w:val="20"/>
              </w:rPr>
            </w:pPr>
          </w:p>
        </w:tc>
      </w:tr>
      <w:tr w:rsidR="00862C1D" w:rsidRPr="00862C1D" w:rsidTr="008D7563">
        <w:tc>
          <w:tcPr>
            <w:tcW w:w="1697" w:type="dxa"/>
          </w:tcPr>
          <w:p w:rsidR="00FC6CB9" w:rsidRPr="00862C1D" w:rsidRDefault="00434890" w:rsidP="00862C1D">
            <w:pPr>
              <w:rPr>
                <w:rFonts w:asciiTheme="majorHAnsi" w:hAnsiTheme="majorHAnsi" w:cstheme="majorHAnsi"/>
                <w:color w:val="002060"/>
              </w:rPr>
            </w:pPr>
            <w:r w:rsidRPr="00862C1D">
              <w:rPr>
                <w:rFonts w:asciiTheme="majorHAnsi" w:hAnsiTheme="majorHAnsi" w:cstheme="majorHAnsi"/>
                <w:color w:val="002060"/>
              </w:rPr>
              <w:t>11</w:t>
            </w:r>
            <w:r w:rsidR="00FC6CB9" w:rsidRPr="00862C1D">
              <w:rPr>
                <w:rFonts w:asciiTheme="majorHAnsi" w:hAnsiTheme="majorHAnsi" w:cstheme="majorHAnsi"/>
                <w:color w:val="002060"/>
              </w:rPr>
              <w:t>.</w:t>
            </w:r>
            <w:r w:rsidR="00391E9F" w:rsidRPr="00862C1D">
              <w:rPr>
                <w:rFonts w:asciiTheme="majorHAnsi" w:hAnsiTheme="majorHAnsi" w:cstheme="majorHAnsi"/>
                <w:color w:val="002060"/>
              </w:rPr>
              <w:t>45</w:t>
            </w:r>
            <w:r w:rsidRPr="00862C1D">
              <w:rPr>
                <w:rFonts w:asciiTheme="majorHAnsi" w:hAnsiTheme="majorHAnsi" w:cstheme="majorHAnsi"/>
                <w:color w:val="002060"/>
              </w:rPr>
              <w:t xml:space="preserve"> – 12.</w:t>
            </w:r>
            <w:r w:rsidR="00391E9F" w:rsidRPr="00862C1D">
              <w:rPr>
                <w:rFonts w:asciiTheme="majorHAnsi" w:hAnsiTheme="majorHAnsi" w:cstheme="majorHAnsi"/>
                <w:color w:val="002060"/>
              </w:rPr>
              <w:t>3</w:t>
            </w:r>
            <w:r w:rsidRPr="00862C1D">
              <w:rPr>
                <w:rFonts w:asciiTheme="majorHAnsi" w:hAnsiTheme="majorHAnsi" w:cstheme="majorHAnsi"/>
                <w:color w:val="002060"/>
              </w:rPr>
              <w:t>0</w:t>
            </w:r>
          </w:p>
        </w:tc>
        <w:tc>
          <w:tcPr>
            <w:tcW w:w="7938" w:type="dxa"/>
          </w:tcPr>
          <w:p w:rsidR="00FC6CB9" w:rsidRDefault="00434890" w:rsidP="00862C1D">
            <w:pPr>
              <w:jc w:val="both"/>
              <w:rPr>
                <w:rFonts w:asciiTheme="majorHAnsi" w:hAnsiTheme="majorHAnsi" w:cstheme="majorHAnsi"/>
                <w:b/>
                <w:color w:val="002060"/>
                <w:sz w:val="28"/>
                <w:szCs w:val="28"/>
              </w:rPr>
            </w:pPr>
            <w:r w:rsidRPr="00862C1D">
              <w:rPr>
                <w:rFonts w:asciiTheme="majorHAnsi" w:hAnsiTheme="majorHAnsi" w:cstheme="majorHAnsi"/>
                <w:b/>
                <w:color w:val="002060"/>
                <w:sz w:val="28"/>
                <w:szCs w:val="28"/>
              </w:rPr>
              <w:t>Panel discussion dedicated to</w:t>
            </w:r>
            <w:r w:rsidR="00B84538" w:rsidRPr="00862C1D">
              <w:rPr>
                <w:rFonts w:asciiTheme="majorHAnsi" w:hAnsiTheme="majorHAnsi" w:cstheme="majorHAnsi"/>
                <w:b/>
                <w:color w:val="002060"/>
                <w:sz w:val="28"/>
                <w:szCs w:val="28"/>
              </w:rPr>
              <w:t xml:space="preserve"> Erasmus+ projects and</w:t>
            </w:r>
            <w:r w:rsidRPr="00862C1D">
              <w:rPr>
                <w:rFonts w:asciiTheme="majorHAnsi" w:hAnsiTheme="majorHAnsi" w:cstheme="majorHAnsi"/>
                <w:b/>
                <w:color w:val="002060"/>
                <w:sz w:val="28"/>
                <w:szCs w:val="28"/>
              </w:rPr>
              <w:t xml:space="preserve"> teacher professional development </w:t>
            </w:r>
          </w:p>
          <w:p w:rsidR="00862C1D" w:rsidRPr="00862C1D" w:rsidRDefault="00862C1D" w:rsidP="00862C1D">
            <w:pPr>
              <w:jc w:val="both"/>
              <w:rPr>
                <w:rFonts w:asciiTheme="majorHAnsi" w:hAnsiTheme="majorHAnsi" w:cstheme="majorHAnsi"/>
                <w:color w:val="002060"/>
                <w:sz w:val="20"/>
                <w:szCs w:val="20"/>
              </w:rPr>
            </w:pPr>
          </w:p>
        </w:tc>
      </w:tr>
      <w:tr w:rsidR="00862C1D" w:rsidRPr="00862C1D" w:rsidTr="008D7563">
        <w:tc>
          <w:tcPr>
            <w:tcW w:w="1697" w:type="dxa"/>
          </w:tcPr>
          <w:p w:rsidR="00FC6CB9" w:rsidRPr="00862C1D" w:rsidRDefault="00FC6CB9" w:rsidP="00862C1D">
            <w:pPr>
              <w:rPr>
                <w:rFonts w:asciiTheme="majorHAnsi" w:hAnsiTheme="majorHAnsi" w:cstheme="majorHAnsi"/>
                <w:color w:val="002060"/>
              </w:rPr>
            </w:pPr>
            <w:r w:rsidRPr="00862C1D">
              <w:rPr>
                <w:rFonts w:asciiTheme="majorHAnsi" w:hAnsiTheme="majorHAnsi" w:cstheme="majorHAnsi"/>
                <w:color w:val="002060"/>
              </w:rPr>
              <w:t>12.30 – 13.30</w:t>
            </w:r>
          </w:p>
        </w:tc>
        <w:tc>
          <w:tcPr>
            <w:tcW w:w="7938" w:type="dxa"/>
          </w:tcPr>
          <w:p w:rsidR="00FC6CB9" w:rsidRPr="00862C1D" w:rsidRDefault="00FC6CB9" w:rsidP="00862C1D">
            <w:pPr>
              <w:widowControl w:val="0"/>
              <w:autoSpaceDE w:val="0"/>
              <w:autoSpaceDN w:val="0"/>
              <w:adjustRightInd w:val="0"/>
              <w:jc w:val="both"/>
              <w:rPr>
                <w:rFonts w:asciiTheme="majorHAnsi" w:hAnsiTheme="majorHAnsi" w:cstheme="majorHAnsi"/>
                <w:b/>
                <w:color w:val="002060"/>
                <w:sz w:val="28"/>
              </w:rPr>
            </w:pPr>
            <w:r w:rsidRPr="00862C1D">
              <w:rPr>
                <w:rFonts w:asciiTheme="majorHAnsi" w:hAnsiTheme="majorHAnsi" w:cstheme="majorHAnsi"/>
                <w:b/>
                <w:color w:val="002060"/>
                <w:sz w:val="28"/>
              </w:rPr>
              <w:t xml:space="preserve">What do we mean by culture? </w:t>
            </w:r>
          </w:p>
          <w:p w:rsidR="00FC6CB9" w:rsidRPr="00862C1D" w:rsidRDefault="00FC6CB9" w:rsidP="00862C1D">
            <w:pPr>
              <w:widowControl w:val="0"/>
              <w:autoSpaceDE w:val="0"/>
              <w:autoSpaceDN w:val="0"/>
              <w:adjustRightInd w:val="0"/>
              <w:jc w:val="both"/>
              <w:rPr>
                <w:rFonts w:asciiTheme="majorHAnsi" w:hAnsiTheme="majorHAnsi" w:cstheme="majorHAnsi"/>
                <w:b/>
                <w:color w:val="002060"/>
                <w:sz w:val="28"/>
              </w:rPr>
            </w:pPr>
            <w:r w:rsidRPr="00862C1D">
              <w:rPr>
                <w:rFonts w:asciiTheme="majorHAnsi" w:hAnsiTheme="majorHAnsi" w:cstheme="majorHAnsi"/>
                <w:b/>
                <w:color w:val="002060"/>
              </w:rPr>
              <w:t>Mike Hogan,  director, trainer and coach at York Associates</w:t>
            </w:r>
          </w:p>
          <w:p w:rsidR="00FC6CB9" w:rsidRPr="00862C1D" w:rsidRDefault="00FC6CB9" w:rsidP="00862C1D">
            <w:pPr>
              <w:jc w:val="both"/>
              <w:rPr>
                <w:rFonts w:asciiTheme="majorHAnsi" w:hAnsiTheme="majorHAnsi" w:cstheme="majorHAnsi"/>
                <w:color w:val="002060"/>
                <w:sz w:val="20"/>
                <w:szCs w:val="20"/>
              </w:rPr>
            </w:pPr>
            <w:r w:rsidRPr="00862C1D">
              <w:rPr>
                <w:rFonts w:asciiTheme="majorHAnsi" w:hAnsiTheme="majorHAnsi" w:cstheme="majorHAnsi"/>
                <w:color w:val="002060"/>
                <w:sz w:val="20"/>
                <w:szCs w:val="20"/>
              </w:rPr>
              <w:t>Looking at what we mean by culture and how to address it in the classroom, we’ll move beyond the norms associated with values, traditions and behaviours to think about how culture is constantly evolving and how to address this with your learners. This workshop will involve a number of fun, creative, and ready-to-go activities for your teaching.</w:t>
            </w:r>
          </w:p>
          <w:p w:rsidR="00FC6CB9" w:rsidRPr="00862C1D" w:rsidRDefault="00FC6CB9" w:rsidP="00862C1D">
            <w:pPr>
              <w:jc w:val="both"/>
              <w:rPr>
                <w:rFonts w:asciiTheme="majorHAnsi" w:hAnsiTheme="majorHAnsi" w:cstheme="majorHAnsi"/>
                <w:color w:val="002060"/>
                <w:sz w:val="20"/>
                <w:szCs w:val="20"/>
              </w:rPr>
            </w:pPr>
          </w:p>
        </w:tc>
      </w:tr>
      <w:tr w:rsidR="00862C1D" w:rsidRPr="00862C1D" w:rsidTr="008D7563">
        <w:tc>
          <w:tcPr>
            <w:tcW w:w="1697" w:type="dxa"/>
          </w:tcPr>
          <w:p w:rsidR="00FC6CB9" w:rsidRPr="00862C1D" w:rsidRDefault="00FC6CB9" w:rsidP="00862C1D">
            <w:pPr>
              <w:rPr>
                <w:rFonts w:asciiTheme="majorHAnsi" w:hAnsiTheme="majorHAnsi" w:cstheme="majorHAnsi"/>
                <w:color w:val="002060"/>
              </w:rPr>
            </w:pPr>
            <w:r w:rsidRPr="00862C1D">
              <w:rPr>
                <w:rFonts w:asciiTheme="majorHAnsi" w:hAnsiTheme="majorHAnsi" w:cstheme="majorHAnsi"/>
                <w:color w:val="002060"/>
              </w:rPr>
              <w:t>13.30 – 14.30</w:t>
            </w:r>
          </w:p>
        </w:tc>
        <w:tc>
          <w:tcPr>
            <w:tcW w:w="7938" w:type="dxa"/>
          </w:tcPr>
          <w:p w:rsidR="00FC6CB9" w:rsidRPr="00862C1D" w:rsidRDefault="00FC6CB9" w:rsidP="00862C1D">
            <w:pPr>
              <w:jc w:val="both"/>
              <w:rPr>
                <w:rFonts w:asciiTheme="majorHAnsi" w:hAnsiTheme="majorHAnsi" w:cstheme="majorHAnsi"/>
                <w:color w:val="002060"/>
                <w:sz w:val="28"/>
                <w:szCs w:val="28"/>
              </w:rPr>
            </w:pPr>
            <w:r w:rsidRPr="00862C1D">
              <w:rPr>
                <w:rFonts w:asciiTheme="majorHAnsi" w:hAnsiTheme="majorHAnsi" w:cstheme="majorHAnsi"/>
                <w:color w:val="002060"/>
                <w:sz w:val="28"/>
                <w:szCs w:val="28"/>
              </w:rPr>
              <w:t xml:space="preserve">Lunch break </w:t>
            </w:r>
          </w:p>
          <w:p w:rsidR="00FC6CB9" w:rsidRPr="00862C1D" w:rsidRDefault="00FC6CB9" w:rsidP="00862C1D">
            <w:pPr>
              <w:jc w:val="both"/>
              <w:rPr>
                <w:rFonts w:asciiTheme="majorHAnsi" w:hAnsiTheme="majorHAnsi" w:cstheme="majorHAnsi"/>
                <w:color w:val="002060"/>
                <w:sz w:val="20"/>
                <w:szCs w:val="20"/>
              </w:rPr>
            </w:pPr>
          </w:p>
        </w:tc>
      </w:tr>
      <w:tr w:rsidR="00862C1D" w:rsidRPr="00862C1D" w:rsidTr="008D7563">
        <w:tc>
          <w:tcPr>
            <w:tcW w:w="1697" w:type="dxa"/>
          </w:tcPr>
          <w:p w:rsidR="00FC6CB9" w:rsidRPr="00862C1D" w:rsidRDefault="00FC6CB9" w:rsidP="00862C1D">
            <w:pPr>
              <w:rPr>
                <w:rFonts w:asciiTheme="majorHAnsi" w:hAnsiTheme="majorHAnsi" w:cstheme="majorHAnsi"/>
                <w:color w:val="002060"/>
              </w:rPr>
            </w:pPr>
            <w:r w:rsidRPr="00862C1D">
              <w:rPr>
                <w:rFonts w:asciiTheme="majorHAnsi" w:hAnsiTheme="majorHAnsi" w:cstheme="majorHAnsi"/>
                <w:color w:val="002060"/>
              </w:rPr>
              <w:t>14.30 – 15.15</w:t>
            </w:r>
          </w:p>
        </w:tc>
        <w:tc>
          <w:tcPr>
            <w:tcW w:w="7938" w:type="dxa"/>
          </w:tcPr>
          <w:p w:rsidR="00FC6CB9" w:rsidRPr="00862C1D" w:rsidRDefault="00FC6CB9" w:rsidP="00862C1D">
            <w:pPr>
              <w:jc w:val="both"/>
              <w:rPr>
                <w:rFonts w:asciiTheme="majorHAnsi" w:hAnsiTheme="majorHAnsi" w:cstheme="majorHAnsi"/>
                <w:b/>
                <w:color w:val="002060"/>
                <w:sz w:val="28"/>
                <w:szCs w:val="28"/>
              </w:rPr>
            </w:pPr>
            <w:proofErr w:type="spellStart"/>
            <w:r w:rsidRPr="00862C1D">
              <w:rPr>
                <w:rFonts w:asciiTheme="majorHAnsi" w:hAnsiTheme="majorHAnsi" w:cstheme="majorHAnsi"/>
                <w:b/>
                <w:color w:val="002060"/>
                <w:sz w:val="28"/>
                <w:szCs w:val="28"/>
              </w:rPr>
              <w:t>Enliven</w:t>
            </w:r>
            <w:proofErr w:type="spellEnd"/>
            <w:r w:rsidRPr="00862C1D">
              <w:rPr>
                <w:rFonts w:asciiTheme="majorHAnsi" w:hAnsiTheme="majorHAnsi" w:cstheme="majorHAnsi"/>
                <w:b/>
                <w:color w:val="002060"/>
                <w:sz w:val="28"/>
                <w:szCs w:val="28"/>
              </w:rPr>
              <w:t xml:space="preserve"> </w:t>
            </w:r>
            <w:proofErr w:type="spellStart"/>
            <w:r w:rsidRPr="00862C1D">
              <w:rPr>
                <w:rFonts w:asciiTheme="majorHAnsi" w:hAnsiTheme="majorHAnsi" w:cstheme="majorHAnsi"/>
                <w:b/>
                <w:color w:val="002060"/>
                <w:sz w:val="28"/>
                <w:szCs w:val="28"/>
              </w:rPr>
              <w:t>Your</w:t>
            </w:r>
            <w:proofErr w:type="spellEnd"/>
            <w:r w:rsidRPr="00862C1D">
              <w:rPr>
                <w:rFonts w:asciiTheme="majorHAnsi" w:hAnsiTheme="majorHAnsi" w:cstheme="majorHAnsi"/>
                <w:b/>
                <w:color w:val="002060"/>
                <w:sz w:val="28"/>
                <w:szCs w:val="28"/>
              </w:rPr>
              <w:t xml:space="preserve"> </w:t>
            </w:r>
            <w:proofErr w:type="spellStart"/>
            <w:r w:rsidRPr="00862C1D">
              <w:rPr>
                <w:rFonts w:asciiTheme="majorHAnsi" w:hAnsiTheme="majorHAnsi" w:cstheme="majorHAnsi"/>
                <w:b/>
                <w:color w:val="002060"/>
                <w:sz w:val="28"/>
                <w:szCs w:val="28"/>
              </w:rPr>
              <w:t>Lessons</w:t>
            </w:r>
            <w:proofErr w:type="spellEnd"/>
            <w:r w:rsidRPr="00862C1D">
              <w:rPr>
                <w:rFonts w:asciiTheme="majorHAnsi" w:hAnsiTheme="majorHAnsi" w:cstheme="majorHAnsi"/>
                <w:b/>
                <w:color w:val="002060"/>
                <w:sz w:val="28"/>
                <w:szCs w:val="28"/>
              </w:rPr>
              <w:t xml:space="preserve">, </w:t>
            </w:r>
            <w:proofErr w:type="spellStart"/>
            <w:r w:rsidRPr="00862C1D">
              <w:rPr>
                <w:rFonts w:asciiTheme="majorHAnsi" w:hAnsiTheme="majorHAnsi" w:cstheme="majorHAnsi"/>
                <w:b/>
                <w:color w:val="002060"/>
                <w:sz w:val="28"/>
                <w:szCs w:val="28"/>
              </w:rPr>
              <w:t>Method</w:t>
            </w:r>
            <w:r w:rsidR="00B1282D">
              <w:rPr>
                <w:rFonts w:asciiTheme="majorHAnsi" w:hAnsiTheme="majorHAnsi" w:cstheme="majorHAnsi"/>
                <w:b/>
                <w:color w:val="002060"/>
                <w:sz w:val="28"/>
                <w:szCs w:val="28"/>
              </w:rPr>
              <w:t>o</w:t>
            </w:r>
            <w:r w:rsidRPr="00862C1D">
              <w:rPr>
                <w:rFonts w:asciiTheme="majorHAnsi" w:hAnsiTheme="majorHAnsi" w:cstheme="majorHAnsi"/>
                <w:b/>
                <w:color w:val="002060"/>
                <w:sz w:val="28"/>
                <w:szCs w:val="28"/>
              </w:rPr>
              <w:t>logy</w:t>
            </w:r>
            <w:proofErr w:type="spellEnd"/>
            <w:r w:rsidRPr="00862C1D">
              <w:rPr>
                <w:rFonts w:asciiTheme="majorHAnsi" w:hAnsiTheme="majorHAnsi" w:cstheme="majorHAnsi"/>
                <w:b/>
                <w:color w:val="002060"/>
                <w:sz w:val="28"/>
                <w:szCs w:val="28"/>
              </w:rPr>
              <w:t xml:space="preserve"> </w:t>
            </w:r>
            <w:proofErr w:type="spellStart"/>
            <w:r w:rsidRPr="00862C1D">
              <w:rPr>
                <w:rFonts w:asciiTheme="majorHAnsi" w:hAnsiTheme="majorHAnsi" w:cstheme="majorHAnsi"/>
                <w:b/>
                <w:color w:val="002060"/>
                <w:sz w:val="28"/>
                <w:szCs w:val="28"/>
              </w:rPr>
              <w:t>Workshop</w:t>
            </w:r>
            <w:proofErr w:type="spellEnd"/>
          </w:p>
          <w:p w:rsidR="00FC6CB9" w:rsidRDefault="00FC6CB9" w:rsidP="00862C1D">
            <w:pPr>
              <w:jc w:val="both"/>
              <w:rPr>
                <w:rFonts w:asciiTheme="majorHAnsi" w:hAnsiTheme="majorHAnsi" w:cstheme="majorHAnsi"/>
                <w:color w:val="002060"/>
              </w:rPr>
            </w:pPr>
            <w:r w:rsidRPr="00862C1D">
              <w:rPr>
                <w:rFonts w:asciiTheme="majorHAnsi" w:hAnsiTheme="majorHAnsi" w:cstheme="majorHAnsi"/>
                <w:color w:val="002060"/>
              </w:rPr>
              <w:t>Milena Sredojević, Academic Coordinator and Marijana Ćendić, Teacher, Blackbird Language School</w:t>
            </w:r>
            <w:r w:rsidRPr="00862C1D">
              <w:rPr>
                <w:rFonts w:asciiTheme="majorHAnsi" w:hAnsiTheme="majorHAnsi" w:cstheme="majorHAnsi"/>
                <w:color w:val="002060"/>
              </w:rPr>
              <w:tab/>
            </w:r>
          </w:p>
          <w:p w:rsidR="00862C1D" w:rsidRPr="00862C1D" w:rsidRDefault="00862C1D" w:rsidP="00862C1D">
            <w:pPr>
              <w:jc w:val="both"/>
              <w:rPr>
                <w:rFonts w:asciiTheme="majorHAnsi" w:hAnsiTheme="majorHAnsi" w:cstheme="majorHAnsi"/>
                <w:color w:val="002060"/>
                <w:sz w:val="20"/>
                <w:szCs w:val="20"/>
              </w:rPr>
            </w:pPr>
          </w:p>
        </w:tc>
      </w:tr>
      <w:tr w:rsidR="00862C1D" w:rsidRPr="00862C1D" w:rsidTr="008D7563">
        <w:tc>
          <w:tcPr>
            <w:tcW w:w="1697" w:type="dxa"/>
          </w:tcPr>
          <w:p w:rsidR="00FC6CB9" w:rsidRPr="00862C1D" w:rsidRDefault="00FC6CB9" w:rsidP="00862C1D">
            <w:pPr>
              <w:rPr>
                <w:rFonts w:asciiTheme="majorHAnsi" w:hAnsiTheme="majorHAnsi" w:cstheme="majorHAnsi"/>
                <w:color w:val="002060"/>
              </w:rPr>
            </w:pPr>
            <w:r w:rsidRPr="00862C1D">
              <w:rPr>
                <w:rFonts w:asciiTheme="majorHAnsi" w:hAnsiTheme="majorHAnsi" w:cstheme="majorHAnsi"/>
                <w:color w:val="002060"/>
              </w:rPr>
              <w:t xml:space="preserve">15.15 -  16.00 </w:t>
            </w:r>
          </w:p>
        </w:tc>
        <w:tc>
          <w:tcPr>
            <w:tcW w:w="7938" w:type="dxa"/>
          </w:tcPr>
          <w:p w:rsidR="00FC6CB9" w:rsidRPr="00862C1D" w:rsidRDefault="00FC6CB9" w:rsidP="00862C1D">
            <w:pPr>
              <w:jc w:val="both"/>
              <w:rPr>
                <w:rFonts w:asciiTheme="majorHAnsi" w:hAnsiTheme="majorHAnsi" w:cstheme="majorHAnsi"/>
                <w:b/>
                <w:color w:val="002060"/>
                <w:sz w:val="28"/>
                <w:szCs w:val="28"/>
              </w:rPr>
            </w:pPr>
            <w:r w:rsidRPr="00862C1D">
              <w:rPr>
                <w:rFonts w:asciiTheme="majorHAnsi" w:hAnsiTheme="majorHAnsi" w:cstheme="majorHAnsi"/>
                <w:b/>
                <w:color w:val="002060"/>
                <w:sz w:val="28"/>
                <w:szCs w:val="28"/>
              </w:rPr>
              <w:t xml:space="preserve">New Technology in the Language Classroom, Workshop </w:t>
            </w:r>
          </w:p>
          <w:p w:rsidR="00FC6CB9" w:rsidRPr="00862C1D" w:rsidRDefault="00FC6CB9" w:rsidP="00862C1D">
            <w:pPr>
              <w:jc w:val="both"/>
              <w:rPr>
                <w:rFonts w:asciiTheme="majorHAnsi" w:hAnsiTheme="majorHAnsi" w:cstheme="majorHAnsi"/>
                <w:color w:val="002060"/>
              </w:rPr>
            </w:pPr>
            <w:r w:rsidRPr="00862C1D">
              <w:rPr>
                <w:rFonts w:asciiTheme="majorHAnsi" w:hAnsiTheme="majorHAnsi" w:cstheme="majorHAnsi"/>
                <w:color w:val="002060"/>
              </w:rPr>
              <w:t xml:space="preserve"> Ivana Grujović, Teacher, and Ivan Petrić, Teacher, Blackbird Language School</w:t>
            </w:r>
          </w:p>
          <w:p w:rsidR="00FC6CB9" w:rsidRPr="00862C1D" w:rsidRDefault="00FC6CB9" w:rsidP="00862C1D">
            <w:pPr>
              <w:jc w:val="both"/>
              <w:rPr>
                <w:rFonts w:asciiTheme="majorHAnsi" w:hAnsiTheme="majorHAnsi" w:cstheme="majorHAnsi"/>
                <w:color w:val="002060"/>
                <w:sz w:val="20"/>
                <w:szCs w:val="20"/>
              </w:rPr>
            </w:pPr>
          </w:p>
        </w:tc>
      </w:tr>
      <w:tr w:rsidR="00862C1D" w:rsidRPr="00862C1D" w:rsidTr="008D7563">
        <w:tc>
          <w:tcPr>
            <w:tcW w:w="1697" w:type="dxa"/>
          </w:tcPr>
          <w:p w:rsidR="00FC6CB9" w:rsidRPr="00862C1D" w:rsidRDefault="00FC6CB9">
            <w:pPr>
              <w:rPr>
                <w:rFonts w:asciiTheme="majorHAnsi" w:hAnsiTheme="majorHAnsi" w:cstheme="majorHAnsi"/>
                <w:color w:val="002060"/>
              </w:rPr>
            </w:pPr>
            <w:r w:rsidRPr="00862C1D">
              <w:rPr>
                <w:rFonts w:asciiTheme="majorHAnsi" w:hAnsiTheme="majorHAnsi" w:cstheme="majorHAnsi"/>
                <w:color w:val="002060"/>
              </w:rPr>
              <w:t>16.00 – 16.15</w:t>
            </w:r>
          </w:p>
        </w:tc>
        <w:tc>
          <w:tcPr>
            <w:tcW w:w="7938" w:type="dxa"/>
          </w:tcPr>
          <w:p w:rsidR="00FC6CB9" w:rsidRPr="00862C1D" w:rsidRDefault="00FC6CB9" w:rsidP="00862C1D">
            <w:pPr>
              <w:jc w:val="both"/>
              <w:rPr>
                <w:rFonts w:asciiTheme="majorHAnsi" w:hAnsiTheme="majorHAnsi" w:cstheme="majorHAnsi"/>
                <w:b/>
                <w:color w:val="002060"/>
                <w:sz w:val="28"/>
                <w:szCs w:val="28"/>
              </w:rPr>
            </w:pPr>
            <w:r w:rsidRPr="00862C1D">
              <w:rPr>
                <w:rFonts w:asciiTheme="majorHAnsi" w:hAnsiTheme="majorHAnsi" w:cstheme="majorHAnsi"/>
                <w:b/>
                <w:color w:val="002060"/>
                <w:sz w:val="28"/>
                <w:szCs w:val="28"/>
              </w:rPr>
              <w:t xml:space="preserve">Evaluation and certificates </w:t>
            </w:r>
            <w:bookmarkStart w:id="0" w:name="_GoBack"/>
            <w:bookmarkEnd w:id="0"/>
          </w:p>
          <w:p w:rsidR="00FC6CB9" w:rsidRPr="00862C1D" w:rsidRDefault="00FC6CB9" w:rsidP="00862C1D">
            <w:pPr>
              <w:jc w:val="both"/>
              <w:rPr>
                <w:rFonts w:asciiTheme="majorHAnsi" w:hAnsiTheme="majorHAnsi" w:cstheme="majorHAnsi"/>
                <w:color w:val="002060"/>
              </w:rPr>
            </w:pPr>
          </w:p>
        </w:tc>
      </w:tr>
    </w:tbl>
    <w:p w:rsidR="005471CF" w:rsidRPr="00862C1D" w:rsidRDefault="005471CF">
      <w:pPr>
        <w:rPr>
          <w:color w:val="002060"/>
        </w:rPr>
      </w:pPr>
    </w:p>
    <w:sectPr w:rsidR="005471CF" w:rsidRPr="00862C1D" w:rsidSect="00862C1D">
      <w:pgSz w:w="11906" w:h="16838"/>
      <w:pgMar w:top="397" w:right="1134"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C6A"/>
    <w:rsid w:val="00172F99"/>
    <w:rsid w:val="002E0BE4"/>
    <w:rsid w:val="00362339"/>
    <w:rsid w:val="00391E9F"/>
    <w:rsid w:val="00434890"/>
    <w:rsid w:val="005471CF"/>
    <w:rsid w:val="005C10FF"/>
    <w:rsid w:val="00862C1D"/>
    <w:rsid w:val="008D7563"/>
    <w:rsid w:val="00A315BB"/>
    <w:rsid w:val="00B1282D"/>
    <w:rsid w:val="00B84538"/>
    <w:rsid w:val="00C201FC"/>
    <w:rsid w:val="00F30C6A"/>
    <w:rsid w:val="00F409B5"/>
    <w:rsid w:val="00F72240"/>
    <w:rsid w:val="00FC6CB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35673"/>
  <w15:chartTrackingRefBased/>
  <w15:docId w15:val="{8138A647-A1E9-4422-8A95-4BC225236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1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6C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C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Blackbird Language School</dc:creator>
  <cp:keywords/>
  <dc:description/>
  <cp:lastModifiedBy>Lingva Valjevo</cp:lastModifiedBy>
  <cp:revision>2</cp:revision>
  <cp:lastPrinted>2018-11-06T06:29:00Z</cp:lastPrinted>
  <dcterms:created xsi:type="dcterms:W3CDTF">2018-11-06T11:41:00Z</dcterms:created>
  <dcterms:modified xsi:type="dcterms:W3CDTF">2018-11-06T11:41:00Z</dcterms:modified>
</cp:coreProperties>
</file>